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90E87" w14:textId="77777777" w:rsidR="0049211C" w:rsidRPr="0049211C" w:rsidRDefault="0049211C" w:rsidP="0049211C">
      <w:pPr>
        <w:rPr>
          <w:bCs/>
          <w:i/>
        </w:rPr>
      </w:pPr>
      <w:r>
        <w:rPr>
          <w:bCs/>
          <w:i/>
        </w:rPr>
        <w:t xml:space="preserve">The following excerpt is taken from a </w:t>
      </w:r>
      <w:r w:rsidR="00D92F9B">
        <w:rPr>
          <w:bCs/>
          <w:i/>
        </w:rPr>
        <w:t xml:space="preserve">March 2019 </w:t>
      </w:r>
      <w:r>
        <w:rPr>
          <w:bCs/>
          <w:i/>
        </w:rPr>
        <w:t>Carnegie Council podcast entitled “</w:t>
      </w:r>
      <w:hyperlink r:id="rId9" w:history="1">
        <w:r w:rsidRPr="0049211C">
          <w:rPr>
            <w:rStyle w:val="Hyperlink"/>
            <w:bCs/>
            <w:i/>
          </w:rPr>
          <w:t xml:space="preserve">The Crack-Up: Egypt &amp; the </w:t>
        </w:r>
        <w:proofErr w:type="spellStart"/>
        <w:r w:rsidRPr="0049211C">
          <w:rPr>
            <w:rStyle w:val="Hyperlink"/>
            <w:bCs/>
            <w:i/>
          </w:rPr>
          <w:t>Wilsonian</w:t>
        </w:r>
        <w:proofErr w:type="spellEnd"/>
        <w:r w:rsidRPr="0049211C">
          <w:rPr>
            <w:rStyle w:val="Hyperlink"/>
            <w:bCs/>
            <w:i/>
          </w:rPr>
          <w:t xml:space="preserve"> Moment, with </w:t>
        </w:r>
        <w:proofErr w:type="spellStart"/>
        <w:r w:rsidRPr="0049211C">
          <w:rPr>
            <w:rStyle w:val="Hyperlink"/>
            <w:bCs/>
            <w:i/>
          </w:rPr>
          <w:t>Erez</w:t>
        </w:r>
        <w:proofErr w:type="spellEnd"/>
        <w:r w:rsidRPr="0049211C">
          <w:rPr>
            <w:rStyle w:val="Hyperlink"/>
            <w:bCs/>
            <w:i/>
          </w:rPr>
          <w:t xml:space="preserve"> </w:t>
        </w:r>
        <w:proofErr w:type="spellStart"/>
        <w:r w:rsidRPr="0049211C">
          <w:rPr>
            <w:rStyle w:val="Hyperlink"/>
            <w:bCs/>
            <w:i/>
          </w:rPr>
          <w:t>Manela</w:t>
        </w:r>
        <w:proofErr w:type="spellEnd"/>
      </w:hyperlink>
      <w:r>
        <w:rPr>
          <w:bCs/>
          <w:i/>
        </w:rPr>
        <w:t xml:space="preserve">.” The podcast is based off </w:t>
      </w:r>
      <w:r w:rsidRPr="0049211C">
        <w:rPr>
          <w:bCs/>
        </w:rPr>
        <w:t>The New York Times</w:t>
      </w:r>
      <w:r>
        <w:rPr>
          <w:bCs/>
          <w:i/>
        </w:rPr>
        <w:t xml:space="preserve"> opinion piece “</w:t>
      </w:r>
      <w:hyperlink r:id="rId10" w:history="1">
        <w:r w:rsidRPr="00911691">
          <w:rPr>
            <w:rStyle w:val="Hyperlink"/>
            <w:bCs/>
            <w:i/>
          </w:rPr>
          <w:t>Woodrow Wilson and 'the Ugliest of Treacheries</w:t>
        </w:r>
      </w:hyperlink>
      <w:r>
        <w:rPr>
          <w:bCs/>
          <w:i/>
        </w:rPr>
        <w:t xml:space="preserve">” written by historian </w:t>
      </w:r>
      <w:hyperlink r:id="rId11" w:history="1">
        <w:proofErr w:type="spellStart"/>
        <w:r w:rsidRPr="00911691">
          <w:rPr>
            <w:rStyle w:val="Hyperlink"/>
            <w:bCs/>
            <w:i/>
          </w:rPr>
          <w:t>Erez</w:t>
        </w:r>
        <w:proofErr w:type="spellEnd"/>
        <w:r w:rsidRPr="00911691">
          <w:rPr>
            <w:rStyle w:val="Hyperlink"/>
            <w:bCs/>
            <w:i/>
          </w:rPr>
          <w:t xml:space="preserve"> </w:t>
        </w:r>
        <w:proofErr w:type="spellStart"/>
        <w:r w:rsidRPr="00911691">
          <w:rPr>
            <w:rStyle w:val="Hyperlink"/>
            <w:bCs/>
            <w:i/>
          </w:rPr>
          <w:t>Manela</w:t>
        </w:r>
        <w:proofErr w:type="spellEnd"/>
      </w:hyperlink>
      <w:r>
        <w:rPr>
          <w:bCs/>
          <w:i/>
        </w:rPr>
        <w:t xml:space="preserve">. </w:t>
      </w:r>
      <w:r w:rsidRPr="00D92F9B">
        <w:rPr>
          <w:b/>
          <w:bCs/>
          <w:i/>
        </w:rPr>
        <w:t>This transcript has been edited for classroom use.</w:t>
      </w:r>
    </w:p>
    <w:p w14:paraId="1A8F458F" w14:textId="3D074FAE" w:rsidR="002E0C58" w:rsidRPr="002E0C58" w:rsidRDefault="002E0C58" w:rsidP="0049211C">
      <w:pPr>
        <w:pBdr>
          <w:top w:val="single" w:sz="4" w:space="1" w:color="auto"/>
          <w:left w:val="single" w:sz="4" w:space="4" w:color="auto"/>
          <w:bottom w:val="single" w:sz="4" w:space="1" w:color="auto"/>
          <w:right w:val="single" w:sz="4" w:space="4" w:color="auto"/>
        </w:pBdr>
      </w:pPr>
      <w:r w:rsidRPr="002E0C58">
        <w:rPr>
          <w:b/>
          <w:bCs/>
        </w:rPr>
        <w:t>EREZ MANELA:</w:t>
      </w:r>
      <w:r w:rsidRPr="002E0C58">
        <w:t> </w:t>
      </w:r>
      <w:r>
        <w:t>[W]</w:t>
      </w:r>
      <w:r w:rsidRPr="002E0C58">
        <w:t xml:space="preserve">hen Wilson started using the term self-determination he was using it in a way that's very different from the way </w:t>
      </w:r>
      <w:r>
        <w:t>it was perceived by many others</w:t>
      </w:r>
      <w:r w:rsidR="00925F1B">
        <w:t xml:space="preserve"> </w:t>
      </w:r>
      <w:r w:rsidRPr="002E0C58">
        <w:t>at</w:t>
      </w:r>
      <w:r>
        <w:t xml:space="preserve"> the time</w:t>
      </w:r>
      <w:r w:rsidR="005A6B96" w:rsidRPr="005A6B96">
        <w:t>—</w:t>
      </w:r>
      <w:r w:rsidRPr="002E0C58">
        <w:t xml:space="preserve">and certainly the way it has been perceived </w:t>
      </w:r>
      <w:r w:rsidRPr="00925F1B">
        <w:t>since</w:t>
      </w:r>
      <w:r w:rsidRPr="002E0C58">
        <w:t xml:space="preserve"> by a lot of people around the world. From his perspective he was simply using the term as a synonym to this notion of consent of the governed, which is a central piece of rhetoric that undergirded</w:t>
      </w:r>
      <w:bookmarkStart w:id="0" w:name="_GoBack"/>
      <w:bookmarkEnd w:id="0"/>
      <w:r>
        <w:t xml:space="preserve"> [was a basis</w:t>
      </w:r>
      <w:r w:rsidR="00925F1B">
        <w:t xml:space="preserve"> of</w:t>
      </w:r>
      <w:r>
        <w:t>]</w:t>
      </w:r>
      <w:r w:rsidRPr="002E0C58">
        <w:t xml:space="preserve"> the American Revolution</w:t>
      </w:r>
      <w:r>
        <w:t>…</w:t>
      </w:r>
    </w:p>
    <w:p w14:paraId="056C43BD" w14:textId="62A3F5F4" w:rsidR="002E0C58" w:rsidRPr="002E0C58" w:rsidRDefault="002E0C58" w:rsidP="0049211C">
      <w:pPr>
        <w:pBdr>
          <w:top w:val="single" w:sz="4" w:space="1" w:color="auto"/>
          <w:left w:val="single" w:sz="4" w:space="4" w:color="auto"/>
          <w:bottom w:val="single" w:sz="4" w:space="1" w:color="auto"/>
          <w:right w:val="single" w:sz="4" w:space="4" w:color="auto"/>
        </w:pBdr>
      </w:pPr>
      <w:r>
        <w:t>[Wilson]</w:t>
      </w:r>
      <w:r w:rsidRPr="002E0C58">
        <w:t xml:space="preserve"> picked up on th</w:t>
      </w:r>
      <w:r>
        <w:t>e</w:t>
      </w:r>
      <w:r w:rsidRPr="002E0C58">
        <w:t xml:space="preserve"> term self-determination because the Bolsheviks</w:t>
      </w:r>
      <w:r>
        <w:t xml:space="preserve"> (</w:t>
      </w:r>
      <w:r w:rsidRPr="002E0C58">
        <w:t>Lenin, Trotsky</w:t>
      </w:r>
      <w:r>
        <w:t xml:space="preserve">) </w:t>
      </w:r>
      <w:r w:rsidRPr="002E0C58">
        <w:t>used it and injected it into the conversation in international affairs</w:t>
      </w:r>
      <w:r w:rsidR="005A6B96">
        <w:t>….</w:t>
      </w:r>
      <w:r>
        <w:t>[O]</w:t>
      </w:r>
      <w:proofErr w:type="spellStart"/>
      <w:r>
        <w:t>ne</w:t>
      </w:r>
      <w:proofErr w:type="spellEnd"/>
      <w:r w:rsidRPr="002E0C58">
        <w:t xml:space="preserve"> of the things </w:t>
      </w:r>
      <w:r>
        <w:t>he [Wilson]</w:t>
      </w:r>
      <w:r w:rsidRPr="002E0C58">
        <w:t xml:space="preserve"> wanted to do, of course, was contain and hopefully roll back the Bolshevik Revolution. One way in which he tried to do that was by co-opting</w:t>
      </w:r>
      <w:r w:rsidR="00925F1B">
        <w:rPr>
          <w:rStyle w:val="FootnoteReference"/>
        </w:rPr>
        <w:footnoteReference w:id="1"/>
      </w:r>
      <w:r w:rsidRPr="002E0C58">
        <w:t xml:space="preserve"> their rhetoric</w:t>
      </w:r>
      <w:r w:rsidR="00925F1B">
        <w:t>…</w:t>
      </w:r>
    </w:p>
    <w:p w14:paraId="256F5366" w14:textId="77777777" w:rsidR="005D7E30" w:rsidRDefault="002E0C58" w:rsidP="0049211C">
      <w:pPr>
        <w:pBdr>
          <w:top w:val="single" w:sz="4" w:space="1" w:color="auto"/>
          <w:left w:val="single" w:sz="4" w:space="4" w:color="auto"/>
          <w:bottom w:val="single" w:sz="4" w:space="1" w:color="auto"/>
          <w:right w:val="single" w:sz="4" w:space="4" w:color="auto"/>
        </w:pBdr>
      </w:pPr>
      <w:r w:rsidRPr="002E0C58">
        <w:t>From</w:t>
      </w:r>
      <w:r w:rsidR="00925F1B">
        <w:t xml:space="preserve"> his [Wilson’s]</w:t>
      </w:r>
      <w:r w:rsidRPr="002E0C58">
        <w:t xml:space="preserve"> perspective the importance of government by consent was that it was more stable than the alternative, which he saw as </w:t>
      </w:r>
      <w:r w:rsidRPr="009F2FF5">
        <w:t>autocratic</w:t>
      </w:r>
      <w:r w:rsidRPr="002E0C58">
        <w:t xml:space="preserve"> government.</w:t>
      </w:r>
      <w:r w:rsidR="009F2FF5">
        <w:rPr>
          <w:rStyle w:val="FootnoteReference"/>
        </w:rPr>
        <w:footnoteReference w:id="2"/>
      </w:r>
      <w:r w:rsidRPr="002E0C58">
        <w:t xml:space="preserve"> So he was looking at the Russian Empire before the Revolution, the tsar; he was looking at the German </w:t>
      </w:r>
      <w:proofErr w:type="spellStart"/>
      <w:r w:rsidRPr="002E0C58">
        <w:t>kaiser</w:t>
      </w:r>
      <w:proofErr w:type="spellEnd"/>
      <w:r w:rsidRPr="002E0C58">
        <w:t>, and what he saw was militarism and autocracy. That was his analysis and his word. The antidote to that was government by consent, that is to say, government that was answerable to the people.</w:t>
      </w:r>
      <w:r w:rsidR="0049211C">
        <w:t xml:space="preserve"> </w:t>
      </w:r>
      <w:r w:rsidR="00925F1B">
        <w:t>[Wilson’s]</w:t>
      </w:r>
      <w:r w:rsidRPr="002E0C58">
        <w:t xml:space="preserve"> basic instinct was that the people as such were on the whole less likely than elites or militarists to get into conflicts and war because they were more likely to pay the price</w:t>
      </w:r>
      <w:r w:rsidR="0049211C">
        <w:t>…</w:t>
      </w:r>
      <w:r w:rsidRPr="002E0C58">
        <w:t xml:space="preserve"> </w:t>
      </w:r>
    </w:p>
    <w:p w14:paraId="3ADF2A33" w14:textId="77777777" w:rsidR="000532A4" w:rsidRDefault="000532A4" w:rsidP="000532A4">
      <w:pPr>
        <w:pStyle w:val="ListParagraph"/>
        <w:numPr>
          <w:ilvl w:val="0"/>
          <w:numId w:val="1"/>
        </w:numPr>
      </w:pPr>
      <w:r>
        <w:t xml:space="preserve">Why did Wilson choose to promote the concept of “self-determination”? </w:t>
      </w:r>
    </w:p>
    <w:p w14:paraId="1E62BE92" w14:textId="77777777" w:rsidR="000532A4" w:rsidRDefault="000532A4" w:rsidP="000532A4">
      <w:pPr>
        <w:pStyle w:val="ListParagraph"/>
        <w:ind w:left="360"/>
      </w:pPr>
    </w:p>
    <w:p w14:paraId="4D35AAEC" w14:textId="77777777" w:rsidR="000532A4" w:rsidRDefault="000532A4" w:rsidP="000532A4">
      <w:pPr>
        <w:pStyle w:val="ListParagraph"/>
        <w:ind w:left="360"/>
      </w:pPr>
    </w:p>
    <w:p w14:paraId="1EEB0F4E" w14:textId="77777777" w:rsidR="00E2762D" w:rsidRDefault="00E2762D" w:rsidP="000532A4">
      <w:pPr>
        <w:pStyle w:val="ListParagraph"/>
        <w:ind w:left="360"/>
      </w:pPr>
    </w:p>
    <w:p w14:paraId="3AB6E892" w14:textId="77777777" w:rsidR="000532A4" w:rsidRDefault="00E2762D" w:rsidP="00E2762D">
      <w:pPr>
        <w:pStyle w:val="ListParagraph"/>
        <w:numPr>
          <w:ilvl w:val="0"/>
          <w:numId w:val="1"/>
        </w:numPr>
      </w:pPr>
      <w:proofErr w:type="spellStart"/>
      <w:r>
        <w:t>Manela</w:t>
      </w:r>
      <w:proofErr w:type="spellEnd"/>
      <w:r>
        <w:t xml:space="preserve"> speaks about Wilson using the term “self-determination” as a way of “co-opting” the language of the Bolsheviks. What is the purpose of doing this?</w:t>
      </w:r>
    </w:p>
    <w:p w14:paraId="1604FC96" w14:textId="77777777" w:rsidR="00E2762D" w:rsidRDefault="00E2762D" w:rsidP="00E2762D">
      <w:pPr>
        <w:pStyle w:val="ListParagraph"/>
        <w:ind w:left="360"/>
      </w:pPr>
    </w:p>
    <w:p w14:paraId="585ACE46" w14:textId="77777777" w:rsidR="00E2762D" w:rsidRDefault="00E2762D" w:rsidP="00E2762D">
      <w:pPr>
        <w:pStyle w:val="ListParagraph"/>
        <w:ind w:left="360"/>
      </w:pPr>
    </w:p>
    <w:p w14:paraId="2EA82DB8" w14:textId="77777777" w:rsidR="00E2762D" w:rsidRDefault="00E2762D" w:rsidP="00E2762D">
      <w:pPr>
        <w:pStyle w:val="ListParagraph"/>
        <w:ind w:left="360"/>
      </w:pPr>
    </w:p>
    <w:p w14:paraId="04EEC0F7" w14:textId="77777777" w:rsidR="00E2762D" w:rsidRDefault="00E2762D" w:rsidP="00E2762D">
      <w:pPr>
        <w:pStyle w:val="ListParagraph"/>
        <w:ind w:left="360"/>
      </w:pPr>
    </w:p>
    <w:p w14:paraId="566D8464" w14:textId="2B8F1A94" w:rsidR="000532A4" w:rsidRDefault="000532A4" w:rsidP="000532A4">
      <w:pPr>
        <w:pStyle w:val="ListParagraph"/>
        <w:numPr>
          <w:ilvl w:val="0"/>
          <w:numId w:val="1"/>
        </w:numPr>
      </w:pPr>
      <w:r>
        <w:t xml:space="preserve">Did Wilson use the term “self-determination” expecting that ethnic </w:t>
      </w:r>
      <w:r w:rsidR="00D46848">
        <w:t xml:space="preserve">groups </w:t>
      </w:r>
      <w:r>
        <w:t>within states would want to develop ambitious plans for greater freedom afterwards?</w:t>
      </w:r>
      <w:r w:rsidR="00E2762D">
        <w:t xml:space="preserve"> What evidence is there in this excer</w:t>
      </w:r>
      <w:r w:rsidR="005A6B96">
        <w:t>pt for or against your argument?</w:t>
      </w:r>
    </w:p>
    <w:p w14:paraId="427CE72A" w14:textId="77777777" w:rsidR="0049211C" w:rsidRDefault="0049211C" w:rsidP="0049211C"/>
    <w:sectPr w:rsidR="0049211C" w:rsidSect="0049211C">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8373C" w14:textId="77777777" w:rsidR="003E182D" w:rsidRDefault="003E182D" w:rsidP="00925F1B">
      <w:pPr>
        <w:spacing w:after="0" w:line="240" w:lineRule="auto"/>
      </w:pPr>
      <w:r>
        <w:separator/>
      </w:r>
    </w:p>
  </w:endnote>
  <w:endnote w:type="continuationSeparator" w:id="0">
    <w:p w14:paraId="23204690" w14:textId="77777777" w:rsidR="003E182D" w:rsidRDefault="003E182D" w:rsidP="0092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D90FE" w14:textId="77777777" w:rsidR="003E182D" w:rsidRDefault="003E182D" w:rsidP="00925F1B">
      <w:pPr>
        <w:spacing w:after="0" w:line="240" w:lineRule="auto"/>
      </w:pPr>
      <w:r>
        <w:separator/>
      </w:r>
    </w:p>
  </w:footnote>
  <w:footnote w:type="continuationSeparator" w:id="0">
    <w:p w14:paraId="1CF6EE63" w14:textId="77777777" w:rsidR="003E182D" w:rsidRDefault="003E182D" w:rsidP="00925F1B">
      <w:pPr>
        <w:spacing w:after="0" w:line="240" w:lineRule="auto"/>
      </w:pPr>
      <w:r>
        <w:continuationSeparator/>
      </w:r>
    </w:p>
  </w:footnote>
  <w:footnote w:id="1">
    <w:p w14:paraId="385B20A9" w14:textId="77777777" w:rsidR="00925F1B" w:rsidRDefault="00925F1B">
      <w:pPr>
        <w:pStyle w:val="FootnoteText"/>
      </w:pPr>
      <w:r>
        <w:rPr>
          <w:rStyle w:val="FootnoteReference"/>
        </w:rPr>
        <w:footnoteRef/>
      </w:r>
      <w:r>
        <w:t xml:space="preserve"> </w:t>
      </w:r>
      <w:proofErr w:type="gramStart"/>
      <w:r>
        <w:t>Co-opting means to adopt something for one’s own purpose.</w:t>
      </w:r>
      <w:proofErr w:type="gramEnd"/>
      <w:r>
        <w:t xml:space="preserve"> </w:t>
      </w:r>
    </w:p>
  </w:footnote>
  <w:footnote w:id="2">
    <w:p w14:paraId="1B00BA47" w14:textId="77777777" w:rsidR="009F2FF5" w:rsidRDefault="009F2FF5">
      <w:pPr>
        <w:pStyle w:val="FootnoteText"/>
      </w:pPr>
      <w:r>
        <w:rPr>
          <w:rStyle w:val="FootnoteReference"/>
        </w:rPr>
        <w:footnoteRef/>
      </w:r>
      <w:r w:rsidR="00E2762D">
        <w:t xml:space="preserve"> An autocracy is a government ruled by a single leader with absolute power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88F87" w14:textId="77777777" w:rsidR="0049211C" w:rsidRPr="0049211C" w:rsidRDefault="0049211C" w:rsidP="0049211C">
    <w:pPr>
      <w:pStyle w:val="Header"/>
      <w:jc w:val="right"/>
      <w:rPr>
        <w:sz w:val="18"/>
        <w:szCs w:val="18"/>
      </w:rPr>
    </w:pPr>
    <w:r w:rsidRPr="0049211C">
      <w:rPr>
        <w:sz w:val="18"/>
        <w:szCs w:val="18"/>
      </w:rPr>
      <w:t>Carnegie Council for Ethics in International Affairs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779E8"/>
    <w:multiLevelType w:val="hybridMultilevel"/>
    <w:tmpl w:val="66146D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58"/>
    <w:rsid w:val="000532A4"/>
    <w:rsid w:val="002E0C58"/>
    <w:rsid w:val="003E182D"/>
    <w:rsid w:val="0049211C"/>
    <w:rsid w:val="004D0F7D"/>
    <w:rsid w:val="005A6B96"/>
    <w:rsid w:val="005E5795"/>
    <w:rsid w:val="00911691"/>
    <w:rsid w:val="00925F1B"/>
    <w:rsid w:val="009F2FF5"/>
    <w:rsid w:val="00AF3EC9"/>
    <w:rsid w:val="00B231DB"/>
    <w:rsid w:val="00CA7464"/>
    <w:rsid w:val="00D46848"/>
    <w:rsid w:val="00D92F9B"/>
    <w:rsid w:val="00DA03E3"/>
    <w:rsid w:val="00E2762D"/>
    <w:rsid w:val="00F808BC"/>
    <w:rsid w:val="00FF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C58"/>
    <w:rPr>
      <w:color w:val="0000FF" w:themeColor="hyperlink"/>
      <w:u w:val="single"/>
    </w:rPr>
  </w:style>
  <w:style w:type="paragraph" w:styleId="FootnoteText">
    <w:name w:val="footnote text"/>
    <w:basedOn w:val="Normal"/>
    <w:link w:val="FootnoteTextChar"/>
    <w:uiPriority w:val="99"/>
    <w:semiHidden/>
    <w:unhideWhenUsed/>
    <w:rsid w:val="00925F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F1B"/>
    <w:rPr>
      <w:sz w:val="20"/>
      <w:szCs w:val="20"/>
    </w:rPr>
  </w:style>
  <w:style w:type="character" w:styleId="FootnoteReference">
    <w:name w:val="footnote reference"/>
    <w:basedOn w:val="DefaultParagraphFont"/>
    <w:uiPriority w:val="99"/>
    <w:semiHidden/>
    <w:unhideWhenUsed/>
    <w:rsid w:val="00925F1B"/>
    <w:rPr>
      <w:vertAlign w:val="superscript"/>
    </w:rPr>
  </w:style>
  <w:style w:type="paragraph" w:styleId="ListParagraph">
    <w:name w:val="List Paragraph"/>
    <w:basedOn w:val="Normal"/>
    <w:uiPriority w:val="34"/>
    <w:qFormat/>
    <w:rsid w:val="000532A4"/>
    <w:pPr>
      <w:ind w:left="720"/>
      <w:contextualSpacing/>
    </w:pPr>
  </w:style>
  <w:style w:type="paragraph" w:styleId="Header">
    <w:name w:val="header"/>
    <w:basedOn w:val="Normal"/>
    <w:link w:val="HeaderChar"/>
    <w:uiPriority w:val="99"/>
    <w:unhideWhenUsed/>
    <w:rsid w:val="00492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11C"/>
  </w:style>
  <w:style w:type="paragraph" w:styleId="Footer">
    <w:name w:val="footer"/>
    <w:basedOn w:val="Normal"/>
    <w:link w:val="FooterChar"/>
    <w:uiPriority w:val="99"/>
    <w:unhideWhenUsed/>
    <w:rsid w:val="00492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11C"/>
  </w:style>
  <w:style w:type="paragraph" w:styleId="BalloonText">
    <w:name w:val="Balloon Text"/>
    <w:basedOn w:val="Normal"/>
    <w:link w:val="BalloonTextChar"/>
    <w:uiPriority w:val="99"/>
    <w:semiHidden/>
    <w:unhideWhenUsed/>
    <w:rsid w:val="00D468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684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468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C58"/>
    <w:rPr>
      <w:color w:val="0000FF" w:themeColor="hyperlink"/>
      <w:u w:val="single"/>
    </w:rPr>
  </w:style>
  <w:style w:type="paragraph" w:styleId="FootnoteText">
    <w:name w:val="footnote text"/>
    <w:basedOn w:val="Normal"/>
    <w:link w:val="FootnoteTextChar"/>
    <w:uiPriority w:val="99"/>
    <w:semiHidden/>
    <w:unhideWhenUsed/>
    <w:rsid w:val="00925F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F1B"/>
    <w:rPr>
      <w:sz w:val="20"/>
      <w:szCs w:val="20"/>
    </w:rPr>
  </w:style>
  <w:style w:type="character" w:styleId="FootnoteReference">
    <w:name w:val="footnote reference"/>
    <w:basedOn w:val="DefaultParagraphFont"/>
    <w:uiPriority w:val="99"/>
    <w:semiHidden/>
    <w:unhideWhenUsed/>
    <w:rsid w:val="00925F1B"/>
    <w:rPr>
      <w:vertAlign w:val="superscript"/>
    </w:rPr>
  </w:style>
  <w:style w:type="paragraph" w:styleId="ListParagraph">
    <w:name w:val="List Paragraph"/>
    <w:basedOn w:val="Normal"/>
    <w:uiPriority w:val="34"/>
    <w:qFormat/>
    <w:rsid w:val="000532A4"/>
    <w:pPr>
      <w:ind w:left="720"/>
      <w:contextualSpacing/>
    </w:pPr>
  </w:style>
  <w:style w:type="paragraph" w:styleId="Header">
    <w:name w:val="header"/>
    <w:basedOn w:val="Normal"/>
    <w:link w:val="HeaderChar"/>
    <w:uiPriority w:val="99"/>
    <w:unhideWhenUsed/>
    <w:rsid w:val="00492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11C"/>
  </w:style>
  <w:style w:type="paragraph" w:styleId="Footer">
    <w:name w:val="footer"/>
    <w:basedOn w:val="Normal"/>
    <w:link w:val="FooterChar"/>
    <w:uiPriority w:val="99"/>
    <w:unhideWhenUsed/>
    <w:rsid w:val="00492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11C"/>
  </w:style>
  <w:style w:type="paragraph" w:styleId="BalloonText">
    <w:name w:val="Balloon Text"/>
    <w:basedOn w:val="Normal"/>
    <w:link w:val="BalloonTextChar"/>
    <w:uiPriority w:val="99"/>
    <w:semiHidden/>
    <w:unhideWhenUsed/>
    <w:rsid w:val="00D468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684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468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6689">
      <w:bodyDiv w:val="1"/>
      <w:marLeft w:val="0"/>
      <w:marRight w:val="0"/>
      <w:marTop w:val="0"/>
      <w:marBottom w:val="0"/>
      <w:divBdr>
        <w:top w:val="none" w:sz="0" w:space="0" w:color="auto"/>
        <w:left w:val="none" w:sz="0" w:space="0" w:color="auto"/>
        <w:bottom w:val="none" w:sz="0" w:space="0" w:color="auto"/>
        <w:right w:val="none" w:sz="0" w:space="0" w:color="auto"/>
      </w:divBdr>
    </w:div>
    <w:div w:id="202404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rnegiecouncil.org/people/erez-manela"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nytimes.com/2019/03/09/opinion/egypt-revolution-wilson.html" TargetMode="External"/><Relationship Id="rId4" Type="http://schemas.microsoft.com/office/2007/relationships/stylesWithEffects" Target="stylesWithEffects.xml"/><Relationship Id="rId9" Type="http://schemas.openxmlformats.org/officeDocument/2006/relationships/hyperlink" Target="https://www.carnegiecouncil.org/studio/multimedia/20190326-crack-up-egypt-wilsonian-moment-erez-manel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5F68-DDC4-47F7-8405-81C087BD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2</cp:revision>
  <dcterms:created xsi:type="dcterms:W3CDTF">2019-08-27T15:31:00Z</dcterms:created>
  <dcterms:modified xsi:type="dcterms:W3CDTF">2019-08-27T15:31:00Z</dcterms:modified>
</cp:coreProperties>
</file>